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286023" w14:textId="77777777" w:rsidR="00282D0B" w:rsidRDefault="00282D0B" w:rsidP="00282D0B">
      <w:pPr>
        <w:jc w:val="center"/>
        <w:rPr>
          <w:rFonts w:ascii="Times New Roman" w:hAnsi="Times New Roman" w:cs="Times New Roman"/>
          <w:sz w:val="24"/>
          <w:szCs w:val="24"/>
        </w:rPr>
      </w:pPr>
    </w:p>
    <w:p w14:paraId="48099197" w14:textId="77777777" w:rsidR="00282D0B" w:rsidRDefault="00282D0B" w:rsidP="00282D0B">
      <w:pPr>
        <w:jc w:val="center"/>
        <w:rPr>
          <w:rFonts w:ascii="Times New Roman" w:hAnsi="Times New Roman" w:cs="Times New Roman"/>
          <w:sz w:val="24"/>
          <w:szCs w:val="24"/>
        </w:rPr>
      </w:pPr>
    </w:p>
    <w:p w14:paraId="08D0B3B0" w14:textId="77777777" w:rsidR="00282D0B" w:rsidRDefault="00282D0B" w:rsidP="00282D0B">
      <w:pPr>
        <w:jc w:val="center"/>
        <w:rPr>
          <w:rFonts w:ascii="Times New Roman" w:hAnsi="Times New Roman" w:cs="Times New Roman"/>
          <w:sz w:val="24"/>
          <w:szCs w:val="24"/>
        </w:rPr>
      </w:pPr>
    </w:p>
    <w:p w14:paraId="4FBD01DB" w14:textId="77777777" w:rsidR="00282D0B" w:rsidRDefault="00282D0B" w:rsidP="00282D0B">
      <w:pPr>
        <w:jc w:val="center"/>
        <w:rPr>
          <w:rFonts w:ascii="Times New Roman" w:hAnsi="Times New Roman" w:cs="Times New Roman"/>
          <w:sz w:val="24"/>
          <w:szCs w:val="24"/>
        </w:rPr>
      </w:pPr>
    </w:p>
    <w:p w14:paraId="26158448" w14:textId="77777777" w:rsidR="00282D0B" w:rsidRDefault="00282D0B" w:rsidP="00282D0B">
      <w:pPr>
        <w:jc w:val="center"/>
        <w:rPr>
          <w:rFonts w:ascii="Times New Roman" w:hAnsi="Times New Roman" w:cs="Times New Roman"/>
          <w:sz w:val="24"/>
          <w:szCs w:val="24"/>
        </w:rPr>
      </w:pPr>
    </w:p>
    <w:p w14:paraId="362C5329" w14:textId="77777777" w:rsidR="00282D0B" w:rsidRDefault="00282D0B" w:rsidP="00282D0B">
      <w:pPr>
        <w:jc w:val="center"/>
        <w:rPr>
          <w:rFonts w:ascii="Times New Roman" w:hAnsi="Times New Roman" w:cs="Times New Roman"/>
          <w:sz w:val="24"/>
          <w:szCs w:val="24"/>
        </w:rPr>
      </w:pPr>
    </w:p>
    <w:p w14:paraId="7050808E" w14:textId="77777777" w:rsidR="00282D0B" w:rsidRDefault="00282D0B" w:rsidP="00282D0B">
      <w:pPr>
        <w:jc w:val="center"/>
        <w:rPr>
          <w:rFonts w:ascii="Times New Roman" w:hAnsi="Times New Roman" w:cs="Times New Roman"/>
          <w:sz w:val="24"/>
          <w:szCs w:val="24"/>
        </w:rPr>
      </w:pPr>
    </w:p>
    <w:p w14:paraId="288D3CC6" w14:textId="77777777" w:rsidR="00282D0B" w:rsidRDefault="00282D0B" w:rsidP="00282D0B">
      <w:pPr>
        <w:jc w:val="center"/>
        <w:rPr>
          <w:rFonts w:ascii="Times New Roman" w:hAnsi="Times New Roman" w:cs="Times New Roman"/>
          <w:sz w:val="24"/>
          <w:szCs w:val="24"/>
        </w:rPr>
      </w:pPr>
    </w:p>
    <w:p w14:paraId="2582D2AB" w14:textId="77777777" w:rsidR="00282D0B" w:rsidRDefault="00282D0B" w:rsidP="00282D0B">
      <w:pPr>
        <w:jc w:val="center"/>
        <w:rPr>
          <w:rFonts w:ascii="Times New Roman" w:hAnsi="Times New Roman" w:cs="Times New Roman"/>
          <w:sz w:val="24"/>
          <w:szCs w:val="24"/>
        </w:rPr>
      </w:pPr>
    </w:p>
    <w:p w14:paraId="625043A7" w14:textId="77777777" w:rsidR="00282D0B" w:rsidRDefault="00282D0B" w:rsidP="00282D0B">
      <w:pPr>
        <w:jc w:val="center"/>
        <w:rPr>
          <w:rFonts w:ascii="Times New Roman" w:hAnsi="Times New Roman" w:cs="Times New Roman"/>
          <w:sz w:val="24"/>
          <w:szCs w:val="24"/>
        </w:rPr>
      </w:pPr>
    </w:p>
    <w:p w14:paraId="7E5272AE" w14:textId="26D8B2CE" w:rsidR="00282D0B" w:rsidRDefault="00282D0B" w:rsidP="00282D0B">
      <w:pPr>
        <w:jc w:val="center"/>
        <w:rPr>
          <w:rFonts w:ascii="Times New Roman" w:hAnsi="Times New Roman" w:cs="Times New Roman"/>
          <w:sz w:val="24"/>
          <w:szCs w:val="24"/>
        </w:rPr>
      </w:pPr>
      <w:r w:rsidRPr="00282D0B">
        <w:rPr>
          <w:rFonts w:ascii="Times New Roman" w:hAnsi="Times New Roman" w:cs="Times New Roman"/>
          <w:sz w:val="24"/>
          <w:szCs w:val="24"/>
        </w:rPr>
        <w:t xml:space="preserve">Students </w:t>
      </w:r>
      <w:r>
        <w:rPr>
          <w:rFonts w:ascii="Times New Roman" w:hAnsi="Times New Roman" w:cs="Times New Roman"/>
          <w:sz w:val="24"/>
          <w:szCs w:val="24"/>
        </w:rPr>
        <w:t>Name</w:t>
      </w:r>
    </w:p>
    <w:p w14:paraId="13936FD7" w14:textId="213D1FCB" w:rsidR="00282D0B" w:rsidRDefault="00282D0B" w:rsidP="00282D0B">
      <w:pPr>
        <w:jc w:val="center"/>
        <w:rPr>
          <w:rFonts w:ascii="Times New Roman" w:hAnsi="Times New Roman" w:cs="Times New Roman"/>
          <w:sz w:val="24"/>
          <w:szCs w:val="24"/>
        </w:rPr>
      </w:pPr>
      <w:r>
        <w:rPr>
          <w:rFonts w:ascii="Times New Roman" w:hAnsi="Times New Roman" w:cs="Times New Roman"/>
          <w:sz w:val="24"/>
          <w:szCs w:val="24"/>
        </w:rPr>
        <w:t>Institution</w:t>
      </w:r>
    </w:p>
    <w:p w14:paraId="689AF7DD" w14:textId="75322EDF" w:rsidR="00282D0B" w:rsidRPr="00282D0B" w:rsidRDefault="00282D0B" w:rsidP="00282D0B">
      <w:pPr>
        <w:jc w:val="center"/>
        <w:rPr>
          <w:rFonts w:ascii="Times New Roman" w:hAnsi="Times New Roman" w:cs="Times New Roman"/>
          <w:sz w:val="24"/>
          <w:szCs w:val="24"/>
        </w:rPr>
      </w:pPr>
      <w:r>
        <w:rPr>
          <w:rFonts w:ascii="Times New Roman" w:hAnsi="Times New Roman" w:cs="Times New Roman"/>
          <w:sz w:val="24"/>
          <w:szCs w:val="24"/>
        </w:rPr>
        <w:t xml:space="preserve">Course </w:t>
      </w:r>
      <w:r w:rsidRPr="00282D0B">
        <w:rPr>
          <w:rFonts w:ascii="Times New Roman" w:hAnsi="Times New Roman" w:cs="Times New Roman"/>
          <w:sz w:val="24"/>
          <w:szCs w:val="24"/>
        </w:rPr>
        <w:br w:type="page"/>
      </w:r>
    </w:p>
    <w:p w14:paraId="7FFA34E3" w14:textId="3ADA6D2C" w:rsidR="00ED5062" w:rsidRDefault="00732A2B" w:rsidP="00ED5062">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Types of Hypersensitivity Reactions </w:t>
      </w:r>
    </w:p>
    <w:p w14:paraId="195ED28B" w14:textId="5BEFB339" w:rsidR="00CC1FA8" w:rsidRDefault="00732A2B" w:rsidP="00ED506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Hypersensitivity reactions are exaggerated immune responses to chemical components. These may be external or typical body components that the immune system marks as non-self. There are four categories of these immune reactions</w:t>
      </w:r>
      <w:r>
        <w:rPr>
          <w:rFonts w:ascii="Times New Roman" w:hAnsi="Times New Roman" w:cs="Times New Roman"/>
          <w:sz w:val="24"/>
          <w:szCs w:val="24"/>
        </w:rPr>
        <w:t xml:space="preserve">. Each </w:t>
      </w:r>
      <w:r>
        <w:rPr>
          <w:rFonts w:ascii="Times New Roman" w:hAnsi="Times New Roman" w:cs="Times New Roman"/>
          <w:sz w:val="24"/>
          <w:szCs w:val="24"/>
        </w:rPr>
        <w:t>of the reactions has different pathophysiology and sequential presentations.</w:t>
      </w:r>
    </w:p>
    <w:p w14:paraId="164617B8" w14:textId="44254B64" w:rsidR="00697762" w:rsidRDefault="00732A2B" w:rsidP="00ED506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E46CD">
        <w:rPr>
          <w:rFonts w:ascii="Times New Roman" w:hAnsi="Times New Roman" w:cs="Times New Roman"/>
          <w:sz w:val="24"/>
          <w:szCs w:val="24"/>
        </w:rPr>
        <w:t>T</w:t>
      </w:r>
      <w:r>
        <w:rPr>
          <w:rFonts w:ascii="Times New Roman" w:hAnsi="Times New Roman" w:cs="Times New Roman"/>
          <w:sz w:val="24"/>
          <w:szCs w:val="24"/>
        </w:rPr>
        <w:t xml:space="preserve">ype </w:t>
      </w:r>
      <w:r w:rsidR="00B84837">
        <w:rPr>
          <w:rFonts w:ascii="Times New Roman" w:hAnsi="Times New Roman" w:cs="Times New Roman"/>
          <w:sz w:val="24"/>
          <w:szCs w:val="24"/>
        </w:rPr>
        <w:t>I</w:t>
      </w:r>
      <w:r w:rsidR="003E46CD">
        <w:rPr>
          <w:rFonts w:ascii="Times New Roman" w:hAnsi="Times New Roman" w:cs="Times New Roman"/>
          <w:sz w:val="24"/>
          <w:szCs w:val="24"/>
        </w:rPr>
        <w:t xml:space="preserve"> or immediate</w:t>
      </w:r>
      <w:r>
        <w:rPr>
          <w:rFonts w:ascii="Times New Roman" w:hAnsi="Times New Roman" w:cs="Times New Roman"/>
          <w:sz w:val="24"/>
          <w:szCs w:val="24"/>
        </w:rPr>
        <w:t xml:space="preserve"> hypersensitivity</w:t>
      </w:r>
      <w:r w:rsidR="003E46CD">
        <w:rPr>
          <w:rFonts w:ascii="Times New Roman" w:hAnsi="Times New Roman" w:cs="Times New Roman"/>
          <w:sz w:val="24"/>
          <w:szCs w:val="24"/>
        </w:rPr>
        <w:t xml:space="preserve"> is mediated through IgE activation of inflammatory immune cells such as mast cells</w:t>
      </w:r>
      <w:r>
        <w:rPr>
          <w:rFonts w:ascii="Times New Roman" w:hAnsi="Times New Roman" w:cs="Times New Roman"/>
          <w:sz w:val="24"/>
          <w:szCs w:val="24"/>
        </w:rPr>
        <w:t xml:space="preserve">. This reaction occurs when an individual is re-exposed to </w:t>
      </w:r>
      <w:r>
        <w:rPr>
          <w:rFonts w:ascii="Times New Roman" w:hAnsi="Times New Roman" w:cs="Times New Roman"/>
          <w:sz w:val="24"/>
          <w:szCs w:val="24"/>
        </w:rPr>
        <w:t>an external component that the body had previously marked as an antigen</w:t>
      </w:r>
      <w:r w:rsidR="005247D2">
        <w:rPr>
          <w:rFonts w:ascii="Times New Roman" w:hAnsi="Times New Roman" w:cs="Times New Roman"/>
          <w:sz w:val="24"/>
          <w:szCs w:val="24"/>
        </w:rPr>
        <w:t xml:space="preserve"> (Barret, 2019)</w:t>
      </w:r>
      <w:r>
        <w:rPr>
          <w:rFonts w:ascii="Times New Roman" w:hAnsi="Times New Roman" w:cs="Times New Roman"/>
          <w:sz w:val="24"/>
          <w:szCs w:val="24"/>
        </w:rPr>
        <w:t>. These reactions are, therefore, more violent during the second and subsequent exposures to the irritant. The main features of these reactions primarily include the card</w:t>
      </w:r>
      <w:r>
        <w:rPr>
          <w:rFonts w:ascii="Times New Roman" w:hAnsi="Times New Roman" w:cs="Times New Roman"/>
          <w:sz w:val="24"/>
          <w:szCs w:val="24"/>
        </w:rPr>
        <w:t>inal inflammation signs</w:t>
      </w:r>
      <w:r w:rsidR="003E46CD">
        <w:rPr>
          <w:rFonts w:ascii="Times New Roman" w:hAnsi="Times New Roman" w:cs="Times New Roman"/>
          <w:sz w:val="24"/>
          <w:szCs w:val="24"/>
        </w:rPr>
        <w:t xml:space="preserve"> such as </w:t>
      </w:r>
      <w:r w:rsidR="006A299B">
        <w:rPr>
          <w:rFonts w:ascii="Times New Roman" w:hAnsi="Times New Roman" w:cs="Times New Roman"/>
          <w:sz w:val="24"/>
          <w:szCs w:val="24"/>
        </w:rPr>
        <w:t>injection site swelling or anaphylaxis.</w:t>
      </w:r>
    </w:p>
    <w:p w14:paraId="17FF84F4" w14:textId="19505FF2" w:rsidR="00CC1FA8" w:rsidRDefault="009122F6" w:rsidP="00CC1FA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other hand</w:t>
      </w:r>
      <w:r w:rsidR="00732A2B">
        <w:rPr>
          <w:rFonts w:ascii="Times New Roman" w:hAnsi="Times New Roman" w:cs="Times New Roman"/>
          <w:sz w:val="24"/>
          <w:szCs w:val="24"/>
        </w:rPr>
        <w:t xml:space="preserve">, type </w:t>
      </w:r>
      <w:r w:rsidR="00B84837">
        <w:rPr>
          <w:rFonts w:ascii="Times New Roman" w:hAnsi="Times New Roman" w:cs="Times New Roman"/>
          <w:sz w:val="24"/>
          <w:szCs w:val="24"/>
        </w:rPr>
        <w:t>II</w:t>
      </w:r>
      <w:r w:rsidR="00732A2B">
        <w:rPr>
          <w:rFonts w:ascii="Times New Roman" w:hAnsi="Times New Roman" w:cs="Times New Roman"/>
          <w:sz w:val="24"/>
          <w:szCs w:val="24"/>
        </w:rPr>
        <w:t xml:space="preserve"> hypersensitivity is activated by direct attack of antigens on cells</w:t>
      </w:r>
      <w:r w:rsidR="006A299B">
        <w:rPr>
          <w:rFonts w:ascii="Times New Roman" w:hAnsi="Times New Roman" w:cs="Times New Roman"/>
          <w:sz w:val="24"/>
          <w:szCs w:val="24"/>
        </w:rPr>
        <w:t xml:space="preserve"> by IgM and IgG</w:t>
      </w:r>
      <w:r w:rsidR="00732A2B">
        <w:rPr>
          <w:rFonts w:ascii="Times New Roman" w:hAnsi="Times New Roman" w:cs="Times New Roman"/>
          <w:sz w:val="24"/>
          <w:szCs w:val="24"/>
        </w:rPr>
        <w:t xml:space="preserve">. </w:t>
      </w:r>
      <w:r w:rsidR="005247D2">
        <w:rPr>
          <w:rFonts w:ascii="Times New Roman" w:hAnsi="Times New Roman" w:cs="Times New Roman"/>
          <w:sz w:val="24"/>
          <w:szCs w:val="24"/>
        </w:rPr>
        <w:t>Barret (2019), defines t</w:t>
      </w:r>
      <w:r w:rsidR="00732A2B">
        <w:rPr>
          <w:rFonts w:ascii="Times New Roman" w:hAnsi="Times New Roman" w:cs="Times New Roman"/>
          <w:sz w:val="24"/>
          <w:szCs w:val="24"/>
        </w:rPr>
        <w:t>his type of immunoreaction as cytotoxic because i</w:t>
      </w:r>
      <w:r w:rsidR="00732A2B">
        <w:rPr>
          <w:rFonts w:ascii="Times New Roman" w:hAnsi="Times New Roman" w:cs="Times New Roman"/>
          <w:sz w:val="24"/>
          <w:szCs w:val="24"/>
        </w:rPr>
        <w:t>n attacking the cells</w:t>
      </w:r>
      <w:r w:rsidR="006A299B">
        <w:rPr>
          <w:rFonts w:ascii="Times New Roman" w:hAnsi="Times New Roman" w:cs="Times New Roman"/>
          <w:sz w:val="24"/>
          <w:szCs w:val="24"/>
        </w:rPr>
        <w:t>, the antibodies don't spare the cells with the marked antigens. The antigens may be foreign or autoimmunity. In autoimmunity, a faulty immune system identifies self-cells as foreign and marks them for direct destruction. An example is in Goodpasture's syndrome</w:t>
      </w:r>
      <w:r w:rsidR="00F81B87">
        <w:rPr>
          <w:rFonts w:ascii="Times New Roman" w:hAnsi="Times New Roman" w:cs="Times New Roman"/>
          <w:sz w:val="24"/>
          <w:szCs w:val="24"/>
        </w:rPr>
        <w:t>.</w:t>
      </w:r>
    </w:p>
    <w:p w14:paraId="4989DDCD" w14:textId="03EDB46A" w:rsidR="00B84837" w:rsidRDefault="00732A2B" w:rsidP="00BD46A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Type III reactions are a consequence of the accumulation of uncleared immune complexes in the body. Since these antibody-antigen complex</w:t>
      </w:r>
      <w:r>
        <w:rPr>
          <w:rFonts w:ascii="Times New Roman" w:hAnsi="Times New Roman" w:cs="Times New Roman"/>
          <w:sz w:val="24"/>
          <w:szCs w:val="24"/>
        </w:rPr>
        <w:t>es are considered foreign, the immune system targets them for destruction. During the destruction, other tissues around the reaction point are also damaged. This is the case for diseases such as Rheumatoid Arthritis, where lodged complexes in joints lead t</w:t>
      </w:r>
      <w:r>
        <w:rPr>
          <w:rFonts w:ascii="Times New Roman" w:hAnsi="Times New Roman" w:cs="Times New Roman"/>
          <w:sz w:val="24"/>
          <w:szCs w:val="24"/>
        </w:rPr>
        <w:t>o joint destruction.</w:t>
      </w:r>
      <w:r w:rsidR="00BD46A4">
        <w:rPr>
          <w:rFonts w:ascii="Times New Roman" w:hAnsi="Times New Roman" w:cs="Times New Roman"/>
          <w:sz w:val="24"/>
          <w:szCs w:val="24"/>
        </w:rPr>
        <w:t xml:space="preserve"> </w:t>
      </w:r>
      <w:r>
        <w:rPr>
          <w:rFonts w:ascii="Times New Roman" w:hAnsi="Times New Roman" w:cs="Times New Roman"/>
          <w:sz w:val="24"/>
          <w:szCs w:val="24"/>
        </w:rPr>
        <w:t>Type IV reactions are known as delayed immune reactions as they occur beyond a day of the irritation episode</w:t>
      </w:r>
      <w:r w:rsidR="005247D2">
        <w:rPr>
          <w:rFonts w:ascii="Times New Roman" w:hAnsi="Times New Roman" w:cs="Times New Roman"/>
          <w:sz w:val="24"/>
          <w:szCs w:val="24"/>
        </w:rPr>
        <w:t xml:space="preserve"> (</w:t>
      </w:r>
      <w:r w:rsidR="003626A6" w:rsidRPr="004F1456">
        <w:rPr>
          <w:rFonts w:ascii="Times New Roman" w:hAnsi="Times New Roman" w:cs="Times New Roman"/>
          <w:sz w:val="24"/>
          <w:szCs w:val="24"/>
        </w:rPr>
        <w:t>Chen</w:t>
      </w:r>
      <w:r w:rsidR="005247D2">
        <w:rPr>
          <w:rFonts w:ascii="Times New Roman" w:hAnsi="Times New Roman" w:cs="Times New Roman"/>
          <w:sz w:val="24"/>
          <w:szCs w:val="24"/>
        </w:rPr>
        <w:t>, 201</w:t>
      </w:r>
      <w:r w:rsidR="003626A6">
        <w:rPr>
          <w:rFonts w:ascii="Times New Roman" w:hAnsi="Times New Roman" w:cs="Times New Roman"/>
          <w:sz w:val="24"/>
          <w:szCs w:val="24"/>
        </w:rPr>
        <w:t>8</w:t>
      </w:r>
      <w:r w:rsidR="005247D2">
        <w:rPr>
          <w:rFonts w:ascii="Times New Roman" w:hAnsi="Times New Roman" w:cs="Times New Roman"/>
          <w:sz w:val="24"/>
          <w:szCs w:val="24"/>
        </w:rPr>
        <w:t>)</w:t>
      </w:r>
      <w:r>
        <w:rPr>
          <w:rFonts w:ascii="Times New Roman" w:hAnsi="Times New Roman" w:cs="Times New Roman"/>
          <w:sz w:val="24"/>
          <w:szCs w:val="24"/>
        </w:rPr>
        <w:t>.</w:t>
      </w:r>
      <w:r w:rsidR="00BD46A4">
        <w:rPr>
          <w:rFonts w:ascii="Times New Roman" w:hAnsi="Times New Roman" w:cs="Times New Roman"/>
          <w:sz w:val="24"/>
          <w:szCs w:val="24"/>
        </w:rPr>
        <w:t xml:space="preserve"> They are mediated by the cellular T cell immune reactions like the case in contact dermatitis that </w:t>
      </w:r>
      <w:r w:rsidR="00BD46A4">
        <w:rPr>
          <w:rFonts w:ascii="Times New Roman" w:hAnsi="Times New Roman" w:cs="Times New Roman"/>
          <w:sz w:val="24"/>
          <w:szCs w:val="24"/>
        </w:rPr>
        <w:lastRenderedPageBreak/>
        <w:t xml:space="preserve">occurs over a day to the sensitization. The delay is because of the time needed for the manufacture of these T cells. </w:t>
      </w:r>
    </w:p>
    <w:p w14:paraId="0A670369" w14:textId="070DC90C" w:rsidR="00BD46A4" w:rsidRDefault="00732A2B" w:rsidP="00BD46A4">
      <w:pPr>
        <w:spacing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t>D</w:t>
      </w:r>
      <w:r w:rsidRPr="00C40DC7">
        <w:rPr>
          <w:rFonts w:ascii="Times New Roman" w:hAnsi="Times New Roman" w:cs="Times New Roman"/>
          <w:b/>
          <w:bCs/>
          <w:sz w:val="24"/>
          <w:szCs w:val="24"/>
        </w:rPr>
        <w:t>escribe what type of hypersensitivit</w:t>
      </w:r>
      <w:r w:rsidRPr="00C40DC7">
        <w:rPr>
          <w:rFonts w:ascii="Times New Roman" w:hAnsi="Times New Roman" w:cs="Times New Roman"/>
          <w:b/>
          <w:bCs/>
          <w:sz w:val="24"/>
          <w:szCs w:val="24"/>
        </w:rPr>
        <w:t>y reaction is involved in this case, and support with evidence.</w:t>
      </w:r>
    </w:p>
    <w:p w14:paraId="2889E27E" w14:textId="623AC0C8" w:rsidR="00BD46A4" w:rsidRDefault="00732A2B" w:rsidP="00BD46A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patient in the case discussed is a victim of type I immune reaction. The reason behind it is that, first, the patient was taken to the hospital just six hours in which the leg had consider</w:t>
      </w:r>
      <w:r>
        <w:rPr>
          <w:rFonts w:ascii="Times New Roman" w:hAnsi="Times New Roman" w:cs="Times New Roman"/>
          <w:sz w:val="24"/>
          <w:szCs w:val="24"/>
        </w:rPr>
        <w:t xml:space="preserve">able swelling. This indicates the immediate nature of the hypersensitivity. Secondly,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the typical symptoms of inflammation joint in this type of inflammation. Finally, the patient received a booster, second dose, meaning that they had been initially sen</w:t>
      </w:r>
      <w:r>
        <w:rPr>
          <w:rFonts w:ascii="Times New Roman" w:hAnsi="Times New Roman" w:cs="Times New Roman"/>
          <w:sz w:val="24"/>
          <w:szCs w:val="24"/>
        </w:rPr>
        <w:t>sitized in the first vaccination—all these support type</w:t>
      </w:r>
      <w:r w:rsidR="00C40DC7">
        <w:rPr>
          <w:rFonts w:ascii="Times New Roman" w:hAnsi="Times New Roman" w:cs="Times New Roman"/>
          <w:sz w:val="24"/>
          <w:szCs w:val="24"/>
        </w:rPr>
        <w:t>s I hypersensitivity</w:t>
      </w:r>
      <w:r>
        <w:rPr>
          <w:rFonts w:ascii="Times New Roman" w:hAnsi="Times New Roman" w:cs="Times New Roman"/>
          <w:sz w:val="24"/>
          <w:szCs w:val="24"/>
        </w:rPr>
        <w:t>.</w:t>
      </w:r>
    </w:p>
    <w:p w14:paraId="03029233" w14:textId="2CE8A78D" w:rsidR="00C40DC7" w:rsidRDefault="00732A2B" w:rsidP="00BD46A4">
      <w:pPr>
        <w:spacing w:line="480" w:lineRule="auto"/>
        <w:ind w:firstLine="720"/>
        <w:contextualSpacing/>
        <w:rPr>
          <w:rFonts w:ascii="Times New Roman" w:hAnsi="Times New Roman" w:cs="Times New Roman"/>
          <w:b/>
          <w:bCs/>
          <w:sz w:val="24"/>
          <w:szCs w:val="24"/>
        </w:rPr>
      </w:pPr>
      <w:r w:rsidRPr="00C40DC7">
        <w:rPr>
          <w:rFonts w:ascii="Times New Roman" w:hAnsi="Times New Roman" w:cs="Times New Roman"/>
          <w:b/>
          <w:bCs/>
          <w:sz w:val="24"/>
          <w:szCs w:val="24"/>
        </w:rPr>
        <w:t>According to national guidelines, what would you advise parents regarding further immunization practices?</w:t>
      </w:r>
    </w:p>
    <w:p w14:paraId="7470A503" w14:textId="2CA44855" w:rsidR="007E3377" w:rsidRDefault="00732A2B" w:rsidP="00BD46A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immediate reaction should be treated with histamine. The child will a</w:t>
      </w:r>
      <w:r>
        <w:rPr>
          <w:rFonts w:ascii="Times New Roman" w:hAnsi="Times New Roman" w:cs="Times New Roman"/>
          <w:sz w:val="24"/>
          <w:szCs w:val="24"/>
        </w:rPr>
        <w:t>lso need to get the remaining but under close observation. Complete cessation would only be recommended in moderate and severe reactions.</w:t>
      </w:r>
    </w:p>
    <w:p w14:paraId="3577B7E7" w14:textId="22C572F7" w:rsidR="00C40000" w:rsidRDefault="00732A2B" w:rsidP="00C40000">
      <w:pPr>
        <w:spacing w:line="480" w:lineRule="auto"/>
        <w:ind w:firstLine="720"/>
        <w:contextualSpacing/>
        <w:jc w:val="center"/>
        <w:rPr>
          <w:rFonts w:ascii="Times New Roman" w:hAnsi="Times New Roman" w:cs="Times New Roman"/>
          <w:b/>
          <w:bCs/>
          <w:sz w:val="24"/>
          <w:szCs w:val="24"/>
        </w:rPr>
      </w:pPr>
      <w:r w:rsidRPr="00C40000">
        <w:rPr>
          <w:rFonts w:ascii="Times New Roman" w:hAnsi="Times New Roman" w:cs="Times New Roman"/>
          <w:b/>
          <w:bCs/>
          <w:sz w:val="24"/>
          <w:szCs w:val="24"/>
        </w:rPr>
        <w:t>Describe the pathophysiological basis for this type of hypersensitivity reaction.</w:t>
      </w:r>
    </w:p>
    <w:p w14:paraId="21F4DCF7" w14:textId="420AC36B" w:rsidR="004F1456" w:rsidRDefault="00732A2B" w:rsidP="00C4000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During the first exposure to the ant</w:t>
      </w:r>
      <w:r>
        <w:rPr>
          <w:rFonts w:ascii="Times New Roman" w:hAnsi="Times New Roman" w:cs="Times New Roman"/>
          <w:sz w:val="24"/>
          <w:szCs w:val="24"/>
        </w:rPr>
        <w:t>igen, IgE is produced in place of the normal immunoglobulins M and G. The IgE antibodies bind to mast cells and basophils, which is the process of sensitization</w:t>
      </w:r>
      <w:r w:rsidR="003626A6" w:rsidRPr="003626A6">
        <w:rPr>
          <w:rFonts w:ascii="Times New Roman" w:hAnsi="Times New Roman" w:cs="Times New Roman"/>
          <w:sz w:val="24"/>
          <w:szCs w:val="24"/>
        </w:rPr>
        <w:t xml:space="preserve"> </w:t>
      </w:r>
      <w:r w:rsidR="003626A6">
        <w:rPr>
          <w:rFonts w:ascii="Times New Roman" w:hAnsi="Times New Roman" w:cs="Times New Roman"/>
          <w:sz w:val="24"/>
          <w:szCs w:val="24"/>
        </w:rPr>
        <w:t>(</w:t>
      </w:r>
      <w:r w:rsidR="003626A6" w:rsidRPr="004F1456">
        <w:rPr>
          <w:rFonts w:ascii="Times New Roman" w:hAnsi="Times New Roman" w:cs="Times New Roman"/>
          <w:sz w:val="24"/>
          <w:szCs w:val="24"/>
        </w:rPr>
        <w:t>Caballero</w:t>
      </w:r>
      <w:r w:rsidR="003626A6">
        <w:rPr>
          <w:rFonts w:ascii="Times New Roman" w:hAnsi="Times New Roman" w:cs="Times New Roman"/>
          <w:sz w:val="24"/>
          <w:szCs w:val="24"/>
        </w:rPr>
        <w:t>, 2020)</w:t>
      </w:r>
      <w:r>
        <w:rPr>
          <w:rFonts w:ascii="Times New Roman" w:hAnsi="Times New Roman" w:cs="Times New Roman"/>
          <w:sz w:val="24"/>
          <w:szCs w:val="24"/>
        </w:rPr>
        <w:t>. In the subsequent attacks</w:t>
      </w:r>
      <w:r>
        <w:rPr>
          <w:rFonts w:ascii="Times New Roman" w:hAnsi="Times New Roman" w:cs="Times New Roman"/>
          <w:sz w:val="24"/>
          <w:szCs w:val="24"/>
        </w:rPr>
        <w:t xml:space="preserve">, the antigen stimulates the release of these cells, which results in </w:t>
      </w:r>
      <w:r>
        <w:rPr>
          <w:rFonts w:ascii="Times New Roman" w:hAnsi="Times New Roman" w:cs="Times New Roman"/>
          <w:sz w:val="24"/>
          <w:szCs w:val="24"/>
        </w:rPr>
        <w:t>the production of histamine, leukotriene, and prostaglandins. The inflammatory and pain markers increase the leaking potential of blood vessels throug</w:t>
      </w:r>
      <w:r>
        <w:rPr>
          <w:rFonts w:ascii="Times New Roman" w:hAnsi="Times New Roman" w:cs="Times New Roman"/>
          <w:sz w:val="24"/>
          <w:szCs w:val="24"/>
        </w:rPr>
        <w:t>h enlargement of the vascular lumen. All these lead to redness, hotness, and pain in the affected area.</w:t>
      </w:r>
    </w:p>
    <w:p w14:paraId="3F1410DE" w14:textId="1342C564" w:rsidR="00C40DC7" w:rsidRDefault="00732A2B" w:rsidP="004F1456">
      <w:pPr>
        <w:spacing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References </w:t>
      </w:r>
    </w:p>
    <w:p w14:paraId="79A2B6D7" w14:textId="73130DD2" w:rsidR="00026F1F" w:rsidRDefault="00026F1F" w:rsidP="004F1456">
      <w:pPr>
        <w:spacing w:line="480" w:lineRule="auto"/>
        <w:ind w:left="630" w:hanging="630"/>
        <w:contextualSpacing/>
        <w:rPr>
          <w:rFonts w:ascii="Times New Roman" w:hAnsi="Times New Roman" w:cs="Times New Roman"/>
          <w:sz w:val="24"/>
          <w:szCs w:val="24"/>
        </w:rPr>
      </w:pPr>
      <w:r w:rsidRPr="00026F1F">
        <w:rPr>
          <w:rFonts w:ascii="Times New Roman" w:hAnsi="Times New Roman" w:cs="Times New Roman"/>
          <w:sz w:val="24"/>
          <w:szCs w:val="24"/>
        </w:rPr>
        <w:t xml:space="preserve">Barrett, K. E., Barman, S. M., Brooks, H. L., &amp; Yuan, J. X. J. (2019). </w:t>
      </w:r>
      <w:proofErr w:type="spellStart"/>
      <w:r w:rsidRPr="00026F1F">
        <w:rPr>
          <w:rFonts w:ascii="Times New Roman" w:hAnsi="Times New Roman" w:cs="Times New Roman"/>
          <w:sz w:val="24"/>
          <w:szCs w:val="24"/>
        </w:rPr>
        <w:t>Ganong's</w:t>
      </w:r>
      <w:proofErr w:type="spellEnd"/>
      <w:r w:rsidRPr="00026F1F">
        <w:rPr>
          <w:rFonts w:ascii="Times New Roman" w:hAnsi="Times New Roman" w:cs="Times New Roman"/>
          <w:sz w:val="24"/>
          <w:szCs w:val="24"/>
        </w:rPr>
        <w:t xml:space="preserve"> review of medical physiology. McGraw-Hill Education.</w:t>
      </w:r>
    </w:p>
    <w:p w14:paraId="4AB69CC2" w14:textId="32889661" w:rsidR="004F1456" w:rsidRDefault="00732A2B" w:rsidP="004F1456">
      <w:pPr>
        <w:spacing w:line="480" w:lineRule="auto"/>
        <w:ind w:left="720" w:hanging="720"/>
        <w:contextualSpacing/>
        <w:rPr>
          <w:rFonts w:ascii="Times New Roman" w:hAnsi="Times New Roman" w:cs="Times New Roman"/>
          <w:sz w:val="24"/>
          <w:szCs w:val="24"/>
        </w:rPr>
      </w:pPr>
      <w:r w:rsidRPr="004F1456">
        <w:rPr>
          <w:rFonts w:ascii="Times New Roman" w:hAnsi="Times New Roman" w:cs="Times New Roman"/>
          <w:sz w:val="24"/>
          <w:szCs w:val="24"/>
        </w:rPr>
        <w:t xml:space="preserve">Caballero, M. L., &amp; </w:t>
      </w:r>
      <w:proofErr w:type="spellStart"/>
      <w:r w:rsidRPr="004F1456">
        <w:rPr>
          <w:rFonts w:ascii="Times New Roman" w:hAnsi="Times New Roman" w:cs="Times New Roman"/>
          <w:sz w:val="24"/>
          <w:szCs w:val="24"/>
        </w:rPr>
        <w:t>Quirce</w:t>
      </w:r>
      <w:proofErr w:type="spellEnd"/>
      <w:r w:rsidRPr="004F1456">
        <w:rPr>
          <w:rFonts w:ascii="Times New Roman" w:hAnsi="Times New Roman" w:cs="Times New Roman"/>
          <w:sz w:val="24"/>
          <w:szCs w:val="24"/>
        </w:rPr>
        <w:t xml:space="preserve">, S. (2020). Immediate Hypersensitivity Reactions Caused by Drug Excipients: A Literature Review. J </w:t>
      </w:r>
      <w:proofErr w:type="spellStart"/>
      <w:r w:rsidRPr="004F1456">
        <w:rPr>
          <w:rFonts w:ascii="Times New Roman" w:hAnsi="Times New Roman" w:cs="Times New Roman"/>
          <w:sz w:val="24"/>
          <w:szCs w:val="24"/>
        </w:rPr>
        <w:t>Investig</w:t>
      </w:r>
      <w:proofErr w:type="spellEnd"/>
      <w:r w:rsidRPr="004F1456">
        <w:rPr>
          <w:rFonts w:ascii="Times New Roman" w:hAnsi="Times New Roman" w:cs="Times New Roman"/>
          <w:sz w:val="24"/>
          <w:szCs w:val="24"/>
        </w:rPr>
        <w:t xml:space="preserve"> </w:t>
      </w:r>
      <w:proofErr w:type="spellStart"/>
      <w:r w:rsidRPr="004F1456">
        <w:rPr>
          <w:rFonts w:ascii="Times New Roman" w:hAnsi="Times New Roman" w:cs="Times New Roman"/>
          <w:sz w:val="24"/>
          <w:szCs w:val="24"/>
        </w:rPr>
        <w:t>Allergol</w:t>
      </w:r>
      <w:proofErr w:type="spellEnd"/>
      <w:r w:rsidRPr="004F1456">
        <w:rPr>
          <w:rFonts w:ascii="Times New Roman" w:hAnsi="Times New Roman" w:cs="Times New Roman"/>
          <w:sz w:val="24"/>
          <w:szCs w:val="24"/>
        </w:rPr>
        <w:t xml:space="preserve"> Clin Immunol, 30(2), 86-100.</w:t>
      </w:r>
    </w:p>
    <w:p w14:paraId="3CFDDBE8" w14:textId="2120E25C" w:rsidR="00026F1F" w:rsidRDefault="00026F1F" w:rsidP="004F1456">
      <w:pPr>
        <w:spacing w:line="480" w:lineRule="auto"/>
        <w:ind w:left="720" w:hanging="720"/>
        <w:contextualSpacing/>
        <w:rPr>
          <w:rFonts w:ascii="Times New Roman" w:hAnsi="Times New Roman" w:cs="Times New Roman"/>
          <w:sz w:val="24"/>
          <w:szCs w:val="24"/>
        </w:rPr>
      </w:pPr>
      <w:r w:rsidRPr="00026F1F">
        <w:rPr>
          <w:rFonts w:ascii="Times New Roman" w:hAnsi="Times New Roman" w:cs="Times New Roman"/>
          <w:sz w:val="24"/>
          <w:szCs w:val="24"/>
        </w:rPr>
        <w:t>Chen, C. B., Abe, R., Pan, R. Y., Wang, C. W., Hung, S. I., Tsai, Y. G., &amp; Chung, W. H. (2018). An Updated Review of the Molecular Mechanisms in Drug Hypersensitivity. Journal of immunology research, 2018, 6431694. https://doi.org/10.1155/2018/6431694</w:t>
      </w:r>
    </w:p>
    <w:p w14:paraId="4FB0D8B9" w14:textId="77777777" w:rsidR="00C5215B" w:rsidRPr="00BD46A4" w:rsidRDefault="00C5215B" w:rsidP="00BD46A4">
      <w:pPr>
        <w:spacing w:line="480" w:lineRule="auto"/>
        <w:ind w:firstLine="720"/>
        <w:contextualSpacing/>
        <w:rPr>
          <w:rFonts w:ascii="Times New Roman" w:hAnsi="Times New Roman" w:cs="Times New Roman"/>
          <w:sz w:val="24"/>
          <w:szCs w:val="24"/>
        </w:rPr>
      </w:pPr>
    </w:p>
    <w:sectPr w:rsidR="00C5215B" w:rsidRPr="00BD46A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3A1C02" w14:textId="77777777" w:rsidR="00732A2B" w:rsidRDefault="00732A2B" w:rsidP="00282D0B">
      <w:pPr>
        <w:spacing w:after="0" w:line="240" w:lineRule="auto"/>
      </w:pPr>
      <w:r>
        <w:separator/>
      </w:r>
    </w:p>
  </w:endnote>
  <w:endnote w:type="continuationSeparator" w:id="0">
    <w:p w14:paraId="6969BDEC" w14:textId="77777777" w:rsidR="00732A2B" w:rsidRDefault="00732A2B" w:rsidP="00282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22026E" w14:textId="77777777" w:rsidR="00732A2B" w:rsidRDefault="00732A2B" w:rsidP="00282D0B">
      <w:pPr>
        <w:spacing w:after="0" w:line="240" w:lineRule="auto"/>
      </w:pPr>
      <w:r>
        <w:separator/>
      </w:r>
    </w:p>
  </w:footnote>
  <w:footnote w:type="continuationSeparator" w:id="0">
    <w:p w14:paraId="30AF8E54" w14:textId="77777777" w:rsidR="00732A2B" w:rsidRDefault="00732A2B" w:rsidP="00282D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3450225"/>
      <w:docPartObj>
        <w:docPartGallery w:val="Page Numbers (Top of Page)"/>
        <w:docPartUnique/>
      </w:docPartObj>
    </w:sdtPr>
    <w:sdtEndPr>
      <w:rPr>
        <w:noProof/>
      </w:rPr>
    </w:sdtEndPr>
    <w:sdtContent>
      <w:p w14:paraId="687A2881" w14:textId="4DB336D4" w:rsidR="00282D0B" w:rsidRDefault="00282D0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879EA9" w14:textId="77777777" w:rsidR="00282D0B" w:rsidRDefault="00282D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392"/>
    <w:rsid w:val="00026F1F"/>
    <w:rsid w:val="00282D0B"/>
    <w:rsid w:val="003626A6"/>
    <w:rsid w:val="003E46CD"/>
    <w:rsid w:val="004F1456"/>
    <w:rsid w:val="005247D2"/>
    <w:rsid w:val="00697762"/>
    <w:rsid w:val="006A299B"/>
    <w:rsid w:val="00732A2B"/>
    <w:rsid w:val="007E3377"/>
    <w:rsid w:val="009122F6"/>
    <w:rsid w:val="00B84837"/>
    <w:rsid w:val="00BD46A4"/>
    <w:rsid w:val="00C40000"/>
    <w:rsid w:val="00C40DC7"/>
    <w:rsid w:val="00C5215B"/>
    <w:rsid w:val="00CC1FA8"/>
    <w:rsid w:val="00CC6392"/>
    <w:rsid w:val="00ED5062"/>
    <w:rsid w:val="00F201A0"/>
    <w:rsid w:val="00F8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B0DDD"/>
  <w15:chartTrackingRefBased/>
  <w15:docId w15:val="{6EF64F5D-7ADF-47BD-8752-DDE64BEC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456"/>
    <w:rPr>
      <w:color w:val="0563C1" w:themeColor="hyperlink"/>
      <w:u w:val="single"/>
    </w:rPr>
  </w:style>
  <w:style w:type="character" w:customStyle="1" w:styleId="UnresolvedMention1">
    <w:name w:val="Unresolved Mention1"/>
    <w:basedOn w:val="DefaultParagraphFont"/>
    <w:uiPriority w:val="99"/>
    <w:semiHidden/>
    <w:unhideWhenUsed/>
    <w:rsid w:val="004F1456"/>
    <w:rPr>
      <w:color w:val="605E5C"/>
      <w:shd w:val="clear" w:color="auto" w:fill="E1DFDD"/>
    </w:rPr>
  </w:style>
  <w:style w:type="character" w:styleId="UnresolvedMention">
    <w:name w:val="Unresolved Mention"/>
    <w:basedOn w:val="DefaultParagraphFont"/>
    <w:uiPriority w:val="99"/>
    <w:rsid w:val="00026F1F"/>
    <w:rPr>
      <w:color w:val="605E5C"/>
      <w:shd w:val="clear" w:color="auto" w:fill="E1DFDD"/>
    </w:rPr>
  </w:style>
  <w:style w:type="paragraph" w:styleId="Header">
    <w:name w:val="header"/>
    <w:basedOn w:val="Normal"/>
    <w:link w:val="HeaderChar"/>
    <w:uiPriority w:val="99"/>
    <w:unhideWhenUsed/>
    <w:rsid w:val="00282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D0B"/>
  </w:style>
  <w:style w:type="paragraph" w:styleId="Footer">
    <w:name w:val="footer"/>
    <w:basedOn w:val="Normal"/>
    <w:link w:val="FooterChar"/>
    <w:uiPriority w:val="99"/>
    <w:unhideWhenUsed/>
    <w:rsid w:val="00282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10</cp:revision>
  <cp:lastPrinted>2020-07-25T14:09:00Z</cp:lastPrinted>
  <dcterms:created xsi:type="dcterms:W3CDTF">2020-07-25T14:05:00Z</dcterms:created>
  <dcterms:modified xsi:type="dcterms:W3CDTF">2020-07-25T16:32:00Z</dcterms:modified>
</cp:coreProperties>
</file>